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7E27" w14:textId="77777777" w:rsidR="0065012D" w:rsidRDefault="0065012D" w:rsidP="0065012D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</w:rPr>
        <w:t>L’ASST Bergamo Est attiva lo sportello virtuale per molti servizi territoriali</w:t>
      </w:r>
    </w:p>
    <w:p w14:paraId="740C845E" w14:textId="77777777" w:rsidR="0065012D" w:rsidRDefault="0065012D" w:rsidP="0065012D">
      <w:pPr>
        <w:shd w:val="clear" w:color="auto" w:fill="FFFFFF"/>
        <w:rPr>
          <w:rFonts w:ascii="Tw Cen MT" w:eastAsia="Times New Roman" w:hAnsi="Tw Cen MT"/>
          <w:color w:val="000000"/>
          <w:sz w:val="24"/>
          <w:szCs w:val="24"/>
        </w:rPr>
      </w:pPr>
    </w:p>
    <w:p w14:paraId="1F3F0110" w14:textId="77777777" w:rsidR="0065012D" w:rsidRDefault="0065012D" w:rsidP="0065012D">
      <w:pPr>
        <w:shd w:val="clear" w:color="auto" w:fill="FFFFFF"/>
        <w:jc w:val="center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È attiva la nuova piattaforma digitale che consentirà a tutti i cittadini residenti/domiciliati nei Comuni afferenti alla ASST Bergamo Est di accedere direttamente online a molti Servizi Territoriali, evitando così le code agli sportelli.</w:t>
      </w:r>
    </w:p>
    <w:p w14:paraId="4F18807A" w14:textId="77777777" w:rsidR="0065012D" w:rsidRDefault="0065012D" w:rsidP="0065012D">
      <w:pPr>
        <w:shd w:val="clear" w:color="auto" w:fill="FFFFFF"/>
        <w:jc w:val="center"/>
        <w:rPr>
          <w:rFonts w:ascii="Tw Cen MT" w:eastAsia="Times New Roman" w:hAnsi="Tw Cen MT"/>
          <w:color w:val="000000"/>
          <w:sz w:val="24"/>
          <w:szCs w:val="24"/>
        </w:rPr>
      </w:pPr>
    </w:p>
    <w:p w14:paraId="7A05B4F7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Denominato “Sportello Istanze Online Cittadino” (S.I.O.C.), tra le principali attività che potranno essere fatte: la scelta o revoca del medico o pediatra, la richiesta del duplicato della tessera sanitaria o dell'esenzione per patologia o reddito.</w:t>
      </w:r>
    </w:p>
    <w:p w14:paraId="47FC501B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 </w:t>
      </w:r>
    </w:p>
    <w:p w14:paraId="3599F6B3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La piattaforma è raggiungibile al seguente indirizzo</w:t>
      </w:r>
    </w:p>
    <w:p w14:paraId="6E99F12A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 </w:t>
      </w:r>
    </w:p>
    <w:p w14:paraId="22C5C4AE" w14:textId="77777777" w:rsidR="0065012D" w:rsidRDefault="0065012D" w:rsidP="0065012D">
      <w:pPr>
        <w:shd w:val="clear" w:color="auto" w:fill="FFFFFF"/>
        <w:jc w:val="center"/>
        <w:rPr>
          <w:rFonts w:ascii="Tw Cen MT" w:eastAsia="Times New Roman" w:hAnsi="Tw Cen MT"/>
          <w:color w:val="0000FF"/>
          <w:sz w:val="24"/>
          <w:szCs w:val="24"/>
        </w:rPr>
      </w:pPr>
      <w:hyperlink r:id="rId4" w:tooltip="https://teknecloud.it/SIOC-ASSTBGEST/" w:history="1">
        <w:r>
          <w:rPr>
            <w:rStyle w:val="Collegamentoipertestuale"/>
            <w:rFonts w:ascii="Tw Cen MT" w:eastAsia="Times New Roman" w:hAnsi="Tw Cen MT"/>
            <w:sz w:val="24"/>
            <w:szCs w:val="24"/>
          </w:rPr>
          <w:t>https://teknecloud.it/SIOC-ASSTBGEST/</w:t>
        </w:r>
      </w:hyperlink>
    </w:p>
    <w:p w14:paraId="18171AC2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 </w:t>
      </w:r>
    </w:p>
    <w:p w14:paraId="496A4C42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e permette, ad oggi, di richiedere i seguenti servizi:</w:t>
      </w:r>
    </w:p>
    <w:p w14:paraId="0DFC5A45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 </w:t>
      </w:r>
    </w:p>
    <w:p w14:paraId="251FB7D3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Scelta-Cambio Medico/Pediatra</w:t>
      </w:r>
    </w:p>
    <w:p w14:paraId="4CDBDA51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Revoca Medico / Pediatra</w:t>
      </w:r>
    </w:p>
    <w:p w14:paraId="295325E7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Scelta in Deroga</w:t>
      </w:r>
    </w:p>
    <w:p w14:paraId="75E1C58A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Richiesta di rilascio Esenzione per Patologia, Reddito ed Invalidità.</w:t>
      </w:r>
    </w:p>
    <w:p w14:paraId="716428EE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Nuova Iscrizione al Servizio Sanitario per Neonati o Soggetti Immigrati (cittadini italiani e stranieri)</w:t>
      </w:r>
    </w:p>
    <w:p w14:paraId="2A831E96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Richiesta Duplicato Tessera Sanitaria</w:t>
      </w:r>
    </w:p>
    <w:p w14:paraId="0339182B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Rinnovo o Iscrizione Temporanea al Servizio Sanitario Regionale</w:t>
      </w:r>
    </w:p>
    <w:p w14:paraId="4060DB86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Rinnovo Iscrizione al Servizio Sanitario per Cittadini Stranieri</w:t>
      </w:r>
    </w:p>
    <w:p w14:paraId="5ED27C78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Procedura rilascio PIN/PUK</w:t>
      </w:r>
    </w:p>
    <w:p w14:paraId="4BFE01CD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•         Richiesta Rimborso Ticket (servizio in fase di attivazione)</w:t>
      </w:r>
    </w:p>
    <w:p w14:paraId="6A97F920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 </w:t>
      </w:r>
    </w:p>
    <w:p w14:paraId="633D30CA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Per poter inserire nella piattaforma la propria richiesta è necessario disporre di un indirizzo di posta elettronica personale per la registrazione, nonché dei documenti necessari per ogni singola tipologia di servizio.</w:t>
      </w:r>
    </w:p>
    <w:p w14:paraId="3D85B25D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Una volta registrato, il cittadino ha accesso al sistema che propone, in modo essenziale e intuitivo, le informazioni sul servizio richiesto e una procedura guidata e molto semplice per effettuare le operazioni necessarie. Nel profilo utente è disponibile anche un breve manuale per la compilazione.</w:t>
      </w:r>
    </w:p>
    <w:p w14:paraId="4D1872B9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Una volta inviata, la pratica verrà riportata nella sezione “Consulta le tue pratiche” con un numero identificativo, lo stato di avanzamento e infine l’esito della richiesta. Da qui è possibile anche eliminare la pratica se necessario.</w:t>
      </w:r>
    </w:p>
    <w:p w14:paraId="3DF61459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La richiesta, una volta inserita, sarà gestita da un operatore che, in caso di necessità, potrà contattare l’interessato telefonicamente o per e-mail.</w:t>
      </w:r>
    </w:p>
    <w:p w14:paraId="24777ED0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Si tratta insomma di un nuovo modo, offerto dall’ASST Bergamo Est, per svolgere e seguire pratiche amministrative e burocratiche relative il settore salute, usando pc, telefono o tablet senza doversi necessariamente recare agli sportelli.</w:t>
      </w:r>
    </w:p>
    <w:p w14:paraId="1748BB4B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00000"/>
          <w:sz w:val="24"/>
          <w:szCs w:val="24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> </w:t>
      </w:r>
    </w:p>
    <w:p w14:paraId="5C45FBE5" w14:textId="05C7E22D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563C1"/>
          <w:sz w:val="24"/>
          <w:szCs w:val="24"/>
          <w:u w:val="single"/>
        </w:rPr>
      </w:pPr>
      <w:r>
        <w:rPr>
          <w:rFonts w:ascii="Tw Cen MT" w:eastAsia="Times New Roman" w:hAnsi="Tw Cen MT"/>
          <w:color w:val="000000"/>
          <w:sz w:val="24"/>
          <w:szCs w:val="24"/>
        </w:rPr>
        <w:t xml:space="preserve">Per visionare il video dimostrativo sull’utilizzo del nuovo servizio: </w:t>
      </w:r>
      <w:hyperlink r:id="rId5" w:tooltip="https://www.youtube.com/watch?v=vHuEU4HuRlc" w:history="1">
        <w:r>
          <w:rPr>
            <w:rStyle w:val="Collegamentoipertestuale"/>
            <w:rFonts w:ascii="Tw Cen MT" w:eastAsia="Times New Roman" w:hAnsi="Tw Cen MT"/>
            <w:color w:val="0563C1"/>
            <w:sz w:val="24"/>
            <w:szCs w:val="24"/>
          </w:rPr>
          <w:t>https://www.youtube.com/watch?v=vHuEU4HuRlc</w:t>
        </w:r>
      </w:hyperlink>
    </w:p>
    <w:p w14:paraId="603C890D" w14:textId="0D62941D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color w:val="0563C1"/>
          <w:sz w:val="24"/>
          <w:szCs w:val="24"/>
          <w:u w:val="single"/>
        </w:rPr>
      </w:pPr>
    </w:p>
    <w:p w14:paraId="19D8CE97" w14:textId="77777777" w:rsidR="0065012D" w:rsidRDefault="0065012D" w:rsidP="0065012D">
      <w:pPr>
        <w:shd w:val="clear" w:color="auto" w:fill="FFFFFF"/>
        <w:jc w:val="both"/>
        <w:rPr>
          <w:rFonts w:ascii="Tw Cen MT" w:eastAsia="Times New Roman" w:hAnsi="Tw Cen MT"/>
          <w:sz w:val="24"/>
          <w:szCs w:val="24"/>
        </w:rPr>
      </w:pPr>
    </w:p>
    <w:p w14:paraId="68B02090" w14:textId="5D18AEAF" w:rsidR="0065012D" w:rsidRDefault="0065012D" w:rsidP="0065012D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 wp14:anchorId="2D22F947" wp14:editId="504E0B6A">
            <wp:extent cx="1323975" cy="771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A6C8A" w14:textId="77777777" w:rsidR="00EA1A2B" w:rsidRDefault="00EA1A2B"/>
    <w:sectPr w:rsidR="00EA1A2B" w:rsidSect="0065012D">
      <w:pgSz w:w="11907" w:h="16840" w:code="9"/>
      <w:pgMar w:top="1418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49"/>
    <w:rsid w:val="001D024D"/>
    <w:rsid w:val="0065012D"/>
    <w:rsid w:val="00C14949"/>
    <w:rsid w:val="00EA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55CF9"/>
  <w15:chartTrackingRefBased/>
  <w15:docId w15:val="{43B14695-81D3-43AD-AF9F-7840B91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12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5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7c19ea8-f0fc-4d4c-b24d-4b470b3d06a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vHuEU4HuRlc" TargetMode="External"/><Relationship Id="rId4" Type="http://schemas.openxmlformats.org/officeDocument/2006/relationships/hyperlink" Target="https://teknecloud.it/SIOC-ASSTBGE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2024-12-14T09:50:00Z</dcterms:created>
  <dcterms:modified xsi:type="dcterms:W3CDTF">2024-12-14T09:51:00Z</dcterms:modified>
</cp:coreProperties>
</file>